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02A4D" w14:textId="561EDFCE" w:rsidR="0046613C" w:rsidRPr="0046613C" w:rsidRDefault="0046613C" w:rsidP="0046613C">
      <w:pPr>
        <w:keepNext/>
        <w:keepLines/>
        <w:spacing w:before="120" w:after="0" w:line="240" w:lineRule="auto"/>
        <w:outlineLvl w:val="1"/>
        <w:rPr>
          <w:rFonts w:ascii="Times New Roman" w:eastAsia="Calibri" w:hAnsi="Times New Roman" w:cs="Times New Roman"/>
          <w:b/>
          <w:bCs/>
          <w:kern w:val="0"/>
          <w:sz w:val="22"/>
          <w:szCs w:val="22"/>
          <w:lang w:eastAsia="lt-LT"/>
          <w14:ligatures w14:val="none"/>
        </w:rPr>
      </w:pPr>
      <w:bookmarkStart w:id="0" w:name="_Ref38539939"/>
      <w:bookmarkStart w:id="1" w:name="_Ref38541068"/>
      <w:bookmarkStart w:id="2" w:name="_Ref38885053"/>
      <w:bookmarkStart w:id="3" w:name="_Ref38899023"/>
      <w:bookmarkStart w:id="4" w:name="_Toc189481045"/>
      <w:r w:rsidRPr="0046613C">
        <w:rPr>
          <w:rFonts w:ascii="Times New Roman" w:eastAsia="Calibri Light" w:hAnsi="Times New Roman" w:cs="Times New Roman"/>
          <w:b/>
          <w:bCs/>
          <w:kern w:val="0"/>
          <w:sz w:val="22"/>
          <w:szCs w:val="22"/>
          <w:lang w:eastAsia="lt-LT"/>
          <w14:ligatures w14:val="none"/>
        </w:rPr>
        <w:t>Appendix No 2 "Technical Specification” of the Special Terms and Conditions of the Procurement</w:t>
      </w:r>
      <w:bookmarkEnd w:id="0"/>
      <w:bookmarkEnd w:id="1"/>
      <w:bookmarkEnd w:id="2"/>
      <w:bookmarkEnd w:id="3"/>
      <w:bookmarkEnd w:id="4"/>
    </w:p>
    <w:p w14:paraId="1A93B9D2" w14:textId="77777777" w:rsidR="0046613C" w:rsidRPr="0046613C" w:rsidRDefault="0046613C" w:rsidP="0046613C">
      <w:pPr>
        <w:spacing w:line="240" w:lineRule="auto"/>
        <w:jc w:val="center"/>
        <w:rPr>
          <w:rFonts w:ascii="Times New Roman" w:eastAsia="Calibri" w:hAnsi="Times New Roman" w:cs="Times New Roman"/>
          <w:b/>
          <w:bCs/>
          <w:kern w:val="0"/>
          <w:sz w:val="22"/>
          <w:szCs w:val="22"/>
          <w:lang w:eastAsia="lt-LT"/>
          <w14:ligatures w14:val="none"/>
        </w:rPr>
      </w:pPr>
    </w:p>
    <w:p w14:paraId="304C6BDB" w14:textId="77777777" w:rsidR="0046613C" w:rsidRPr="0046613C" w:rsidRDefault="0046613C" w:rsidP="0046613C">
      <w:pPr>
        <w:numPr>
          <w:ilvl w:val="1"/>
          <w:numId w:val="0"/>
        </w:numPr>
        <w:spacing w:after="240" w:line="240" w:lineRule="auto"/>
        <w:jc w:val="center"/>
        <w:rPr>
          <w:rFonts w:ascii="Times New Roman" w:eastAsia="Calibri" w:hAnsi="Times New Roman" w:cs="Times New Roman"/>
          <w:caps/>
          <w:color w:val="404040"/>
          <w:spacing w:val="20"/>
          <w:kern w:val="0"/>
          <w:sz w:val="22"/>
          <w:szCs w:val="22"/>
          <w:lang w:eastAsia="lt-LT"/>
          <w14:ligatures w14:val="none"/>
        </w:rPr>
      </w:pPr>
      <w:r w:rsidRPr="0046613C">
        <w:rPr>
          <w:rFonts w:ascii="Times New Roman" w:eastAsia="Calibri" w:hAnsi="Times New Roman" w:cs="Times New Roman"/>
          <w:caps/>
          <w:color w:val="404040"/>
          <w:spacing w:val="20"/>
          <w:kern w:val="0"/>
          <w:sz w:val="22"/>
          <w:szCs w:val="22"/>
          <w:lang w:eastAsia="lt-LT"/>
          <w14:ligatures w14:val="none"/>
        </w:rPr>
        <w:t>TECHNICAL SPECIFICATION</w:t>
      </w:r>
    </w:p>
    <w:tbl>
      <w:tblPr>
        <w:tblStyle w:val="Lentelstinklelis1"/>
        <w:tblW w:w="10065" w:type="dxa"/>
        <w:tblInd w:w="-147" w:type="dxa"/>
        <w:tblLook w:val="04A0" w:firstRow="1" w:lastRow="0" w:firstColumn="1" w:lastColumn="0" w:noHBand="0" w:noVBand="1"/>
      </w:tblPr>
      <w:tblGrid>
        <w:gridCol w:w="10065"/>
      </w:tblGrid>
      <w:tr w:rsidR="0046613C" w:rsidRPr="0046613C" w14:paraId="6C2E7295"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7ED27DBB" w14:textId="77777777" w:rsidR="0046613C" w:rsidRPr="0046613C" w:rsidRDefault="0046613C" w:rsidP="0046613C">
            <w:pPr>
              <w:numPr>
                <w:ilvl w:val="0"/>
                <w:numId w:val="1"/>
              </w:numPr>
              <w:contextualSpacing/>
              <w:rPr>
                <w:rFonts w:ascii="Times New Roman" w:eastAsia="Times New Roman" w:hAnsi="Times New Roman" w:cs="Times New Roman"/>
                <w:b/>
              </w:rPr>
            </w:pPr>
            <w:r w:rsidRPr="0046613C">
              <w:rPr>
                <w:rFonts w:ascii="Times New Roman" w:hAnsi="Times New Roman" w:cs="Times New Roman"/>
                <w:b/>
              </w:rPr>
              <w:t>CONCEPTS AND ABBREVIATIONS</w:t>
            </w:r>
          </w:p>
        </w:tc>
      </w:tr>
      <w:tr w:rsidR="0046613C" w:rsidRPr="0046613C" w14:paraId="310A7591" w14:textId="77777777" w:rsidTr="0046613C">
        <w:trPr>
          <w:trHeight w:val="1479"/>
        </w:trPr>
        <w:tc>
          <w:tcPr>
            <w:tcW w:w="10065" w:type="dxa"/>
            <w:tcBorders>
              <w:top w:val="single" w:sz="4" w:space="0" w:color="auto"/>
              <w:left w:val="single" w:sz="4" w:space="0" w:color="auto"/>
              <w:bottom w:val="single" w:sz="4" w:space="0" w:color="auto"/>
              <w:right w:val="single" w:sz="4" w:space="0" w:color="auto"/>
            </w:tcBorders>
            <w:hideMark/>
          </w:tcPr>
          <w:p w14:paraId="4CEE9D83" w14:textId="77777777"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Contracting Authority </w:t>
            </w:r>
            <w:r w:rsidRPr="0046613C">
              <w:rPr>
                <w:rFonts w:ascii="Times New Roman" w:hAnsi="Times New Roman" w:cs="Times New Roman"/>
              </w:rPr>
              <w:t>means the Public Institution “European Social Fund Agency”.</w:t>
            </w:r>
          </w:p>
          <w:p w14:paraId="791D8D44" w14:textId="77777777"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bCs/>
              </w:rPr>
              <w:t>Service provider</w:t>
            </w:r>
            <w:r w:rsidRPr="0046613C">
              <w:rPr>
                <w:rFonts w:ascii="Times New Roman" w:hAnsi="Times New Roman" w:cs="Times New Roman"/>
                <w:b/>
                <w:bCs/>
                <w:i/>
              </w:rPr>
              <w:t xml:space="preserve"> </w:t>
            </w:r>
            <w:r w:rsidRPr="0046613C">
              <w:rPr>
                <w:rFonts w:ascii="Times New Roman" w:hAnsi="Times New Roman" w:cs="Times New Roman"/>
                <w:bCs/>
              </w:rPr>
              <w:t xml:space="preserve">means economic operator or natural person, private legal person, public legal person, other organizations and their divisions or </w:t>
            </w:r>
            <w:r w:rsidRPr="0046613C">
              <w:rPr>
                <w:rFonts w:ascii="Times New Roman" w:hAnsi="Times New Roman" w:cs="Times New Roman"/>
              </w:rPr>
              <w:t xml:space="preserve">a group of such persons with whom the Contracting Authority concludes a Contract. </w:t>
            </w:r>
          </w:p>
          <w:p w14:paraId="7DC1725E" w14:textId="77777777"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Services </w:t>
            </w:r>
            <w:r w:rsidRPr="0046613C">
              <w:rPr>
                <w:rFonts w:ascii="Times New Roman" w:hAnsi="Times New Roman" w:cs="Times New Roman"/>
              </w:rPr>
              <w:t>mean ESF+ SI+ Initiative events (conferences, networking meetings, study visits, etc.) organization services.</w:t>
            </w:r>
          </w:p>
          <w:p w14:paraId="014D8C58" w14:textId="77777777" w:rsidR="0046613C" w:rsidRPr="0046613C" w:rsidRDefault="0046613C" w:rsidP="0046613C">
            <w:pPr>
              <w:numPr>
                <w:ilvl w:val="1"/>
                <w:numId w:val="2"/>
              </w:numPr>
              <w:tabs>
                <w:tab w:val="left" w:pos="360"/>
              </w:tabs>
              <w:ind w:left="738" w:hanging="425"/>
              <w:contextualSpacing/>
              <w:jc w:val="both"/>
              <w:rPr>
                <w:rFonts w:ascii="Times New Roman" w:eastAsia="Times New Roman" w:hAnsi="Times New Roman" w:cs="Times New Roman"/>
              </w:rPr>
            </w:pPr>
            <w:r w:rsidRPr="0046613C">
              <w:rPr>
                <w:rFonts w:ascii="Times New Roman" w:hAnsi="Times New Roman" w:cs="Times New Roman"/>
              </w:rPr>
              <w:t>Framework Agreement means a contract(s) concluded between the Service Provider who won the Procurement and the Contracting Authority, on the basis of which a reopened competition will be held among the Service Providers who signed the Framework Agreement.</w:t>
            </w:r>
          </w:p>
          <w:p w14:paraId="170DB9C1" w14:textId="4613627B" w:rsidR="0046613C" w:rsidRPr="0046613C" w:rsidRDefault="0046613C" w:rsidP="0046613C">
            <w:pPr>
              <w:numPr>
                <w:ilvl w:val="1"/>
                <w:numId w:val="2"/>
              </w:numPr>
              <w:tabs>
                <w:tab w:val="left" w:pos="360"/>
              </w:tabs>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Reopened competition </w:t>
            </w:r>
            <w:r w:rsidRPr="0046613C">
              <w:rPr>
                <w:rFonts w:ascii="Times New Roman" w:hAnsi="Times New Roman" w:cs="Times New Roman"/>
              </w:rPr>
              <w:t>means a reopened competition amongst suppliers for the conclusion of the Procurement Contract, carried out by the decision of the Contracting Authority under the conditions and procedure set out in legal acts, the Terms and Conditions of Procurement and the Framework Agreement.</w:t>
            </w:r>
          </w:p>
          <w:p w14:paraId="049BD3EB" w14:textId="5FBA2266"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Procurement Contract </w:t>
            </w:r>
            <w:r w:rsidRPr="0046613C">
              <w:rPr>
                <w:rFonts w:ascii="Times New Roman" w:hAnsi="Times New Roman" w:cs="Times New Roman"/>
              </w:rPr>
              <w:t xml:space="preserve">means the main procurement contract and/or main procurement contract for the provision of Services, concluded between the Contracting Authority and one of the Service Providers on the basis of the Framework Agreement and in accordance with the procedure established therein and in the Terms and Conditions of Procurement. </w:t>
            </w:r>
          </w:p>
          <w:p w14:paraId="691DA331" w14:textId="77777777" w:rsidR="0046613C" w:rsidRPr="0046613C" w:rsidRDefault="0046613C" w:rsidP="0046613C">
            <w:pPr>
              <w:numPr>
                <w:ilvl w:val="1"/>
                <w:numId w:val="2"/>
              </w:numPr>
              <w:tabs>
                <w:tab w:val="left" w:pos="360"/>
              </w:tabs>
              <w:spacing w:before="60" w:after="60"/>
              <w:ind w:left="738" w:hanging="425"/>
              <w:jc w:val="both"/>
              <w:rPr>
                <w:rFonts w:ascii="Times New Roman" w:eastAsia="Times New Roman" w:hAnsi="Times New Roman" w:cs="Times New Roman"/>
              </w:rPr>
            </w:pPr>
            <w:r w:rsidRPr="0046613C">
              <w:rPr>
                <w:rFonts w:ascii="Times New Roman" w:hAnsi="Times New Roman" w:cs="Times New Roman"/>
                <w:b/>
              </w:rPr>
              <w:t xml:space="preserve">Order </w:t>
            </w:r>
            <w:r w:rsidRPr="0046613C">
              <w:rPr>
                <w:rFonts w:ascii="Times New Roman" w:hAnsi="Times New Roman" w:cs="Times New Roman"/>
              </w:rPr>
              <w:t>means information on the specific Services to be procured and the procedures to be applied, provided by the Contracting Authority during the Reopened Competition Procedure to the Service Providers with whom the Framework Agreement has been concluded, which the Service Providers must take into account when submitting a tender during the Reopened Competition Procedure.</w:t>
            </w:r>
          </w:p>
        </w:tc>
      </w:tr>
      <w:tr w:rsidR="0046613C" w:rsidRPr="0046613C" w14:paraId="1B0EB3D9"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794D06E7"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t xml:space="preserve">SUBJECT MATTER AND SCOPE OF PROCUREMENT: </w:t>
            </w:r>
          </w:p>
        </w:tc>
      </w:tr>
      <w:tr w:rsidR="0046613C" w:rsidRPr="0046613C" w14:paraId="033263E7" w14:textId="77777777" w:rsidTr="0046613C">
        <w:trPr>
          <w:trHeight w:val="903"/>
        </w:trPr>
        <w:tc>
          <w:tcPr>
            <w:tcW w:w="10065" w:type="dxa"/>
            <w:tcBorders>
              <w:top w:val="single" w:sz="4" w:space="0" w:color="auto"/>
              <w:left w:val="single" w:sz="4" w:space="0" w:color="auto"/>
              <w:bottom w:val="single" w:sz="4" w:space="0" w:color="auto"/>
              <w:right w:val="single" w:sz="4" w:space="0" w:color="auto"/>
            </w:tcBorders>
            <w:hideMark/>
          </w:tcPr>
          <w:p w14:paraId="1E163CEA" w14:textId="77777777" w:rsidR="0046613C" w:rsidRPr="0046613C" w:rsidRDefault="0046613C" w:rsidP="0046613C">
            <w:pPr>
              <w:numPr>
                <w:ilvl w:val="1"/>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b/>
                <w:bCs/>
              </w:rPr>
              <w:t xml:space="preserve"> Subject Matter of Procurement:</w:t>
            </w:r>
          </w:p>
          <w:p w14:paraId="562B8F82" w14:textId="179D3190" w:rsidR="0046613C" w:rsidRPr="0046613C" w:rsidRDefault="0046613C" w:rsidP="0046613C">
            <w:pPr>
              <w:numPr>
                <w:ilvl w:val="2"/>
                <w:numId w:val="2"/>
              </w:numPr>
              <w:tabs>
                <w:tab w:val="left" w:pos="596"/>
                <w:tab w:val="left" w:pos="1164"/>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Services related to organising events (conferences, networking events, study visits, etc.) under the ESF+ SI+ initiative.</w:t>
            </w:r>
          </w:p>
          <w:p w14:paraId="602D5866"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European Social Fund Agency (ESFA) has been appointed as the indirect manager of the European Social Fund+ Social Innovation+ initiative for the period 2021-2027. Conferences, networking meetings, study visits and other events are organized to implement the initiative. The absolute majority of events are planned in the European Union countries, but some events may also be held in other countries.</w:t>
            </w:r>
          </w:p>
          <w:p w14:paraId="46A529A8"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Event types that are major includes, but are not limited to:</w:t>
            </w:r>
          </w:p>
          <w:p w14:paraId="493BDB63"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Conference, 40 – 100 participants;</w:t>
            </w:r>
          </w:p>
          <w:p w14:paraId="185C3823"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Study visit, 20 – 50 participants;</w:t>
            </w:r>
          </w:p>
          <w:p w14:paraId="24E26205"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Annual conference-forum, 250 – 350 participants;</w:t>
            </w:r>
          </w:p>
          <w:p w14:paraId="1BD72259"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Advisory board meeting, 15 – 20 participants.</w:t>
            </w:r>
          </w:p>
          <w:p w14:paraId="274D8394"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Framework Agreement will be concluded for a period of 48 months.</w:t>
            </w:r>
          </w:p>
          <w:p w14:paraId="63BD9709"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At present, the specific locations of the events are not known, but it is planned that the events will take place in different countries, and 1-2 events per year will be held in the same country. The Contracting Authority orders event organization services on an as-needed basis. More detailed information about the event organization services, the deadlines, location, content, technical requirements, the number of personnel required by the service provider and other requirements will be provided at the time of ordering the services (after the competition is reopened).</w:t>
            </w:r>
          </w:p>
          <w:p w14:paraId="7B581F0A" w14:textId="77777777" w:rsidR="0046613C" w:rsidRPr="0046613C" w:rsidRDefault="0046613C" w:rsidP="0046613C">
            <w:pPr>
              <w:numPr>
                <w:ilvl w:val="1"/>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b/>
                <w:bCs/>
              </w:rPr>
              <w:t xml:space="preserve"> The value of the subject matter of procurement </w:t>
            </w:r>
            <w:r w:rsidRPr="0046613C">
              <w:rPr>
                <w:rFonts w:ascii="Times New Roman" w:hAnsi="Times New Roman" w:cs="Times New Roman"/>
              </w:rPr>
              <w:t>is EUR 4,000,000.00 excluding VAT.</w:t>
            </w:r>
          </w:p>
          <w:p w14:paraId="7EABBC9D" w14:textId="77777777" w:rsidR="0046613C" w:rsidRPr="0046613C" w:rsidRDefault="0046613C" w:rsidP="0046613C">
            <w:pPr>
              <w:numPr>
                <w:ilvl w:val="1"/>
                <w:numId w:val="2"/>
              </w:numPr>
              <w:tabs>
                <w:tab w:val="left" w:pos="596"/>
                <w:tab w:val="left" w:pos="1031"/>
              </w:tabs>
              <w:spacing w:before="60" w:after="60"/>
              <w:contextualSpacing/>
              <w:jc w:val="both"/>
              <w:rPr>
                <w:rFonts w:ascii="Times New Roman" w:eastAsia="Times New Roman" w:hAnsi="Times New Roman" w:cs="Times New Roman"/>
                <w:b/>
              </w:rPr>
            </w:pPr>
            <w:r w:rsidRPr="0046613C">
              <w:rPr>
                <w:rFonts w:ascii="Times New Roman" w:hAnsi="Times New Roman" w:cs="Times New Roman"/>
                <w:b/>
              </w:rPr>
              <w:t>Description of the subject matter of procurement:</w:t>
            </w:r>
          </w:p>
          <w:p w14:paraId="1D6FC827" w14:textId="77777777" w:rsidR="0046613C" w:rsidRPr="0046613C" w:rsidRDefault="0046613C" w:rsidP="0046613C">
            <w:pPr>
              <w:ind w:left="739"/>
              <w:contextualSpacing/>
              <w:jc w:val="both"/>
              <w:rPr>
                <w:rFonts w:ascii="Times New Roman" w:hAnsi="Times New Roman" w:cs="Times New Roman"/>
                <w:i/>
                <w:iCs/>
              </w:rPr>
            </w:pPr>
            <w:r w:rsidRPr="0046613C">
              <w:rPr>
                <w:rFonts w:ascii="Times New Roman" w:hAnsi="Times New Roman" w:cs="Times New Roman"/>
                <w:b/>
                <w:bCs/>
              </w:rPr>
              <w:lastRenderedPageBreak/>
              <w:t xml:space="preserve">Note: </w:t>
            </w:r>
            <w:r w:rsidRPr="0046613C">
              <w:rPr>
                <w:rFonts w:ascii="Times New Roman" w:hAnsi="Times New Roman" w:cs="Times New Roman"/>
                <w:i/>
                <w:iCs/>
              </w:rPr>
              <w:t>It should be noted that below is a sample description of the Subject Matter of Procurement, covering as many services that may be ordered as possible, which is intended to help suppliers better understand</w:t>
            </w:r>
            <w:r w:rsidRPr="0046613C">
              <w:rPr>
                <w:rFonts w:ascii="Times New Roman" w:hAnsi="Times New Roman" w:cs="Times New Roman"/>
                <w:b/>
                <w:bCs/>
                <w:i/>
                <w:iCs/>
              </w:rPr>
              <w:t xml:space="preserve"> </w:t>
            </w:r>
            <w:r w:rsidRPr="0046613C">
              <w:rPr>
                <w:rFonts w:ascii="Times New Roman" w:hAnsi="Times New Roman" w:cs="Times New Roman"/>
                <w:i/>
                <w:iCs/>
              </w:rPr>
              <w:t xml:space="preserve">the needs of the Contracting Authority. During the service order (reopened competition), the services required for a specific event will be specified by selecting the services required for this event and, if necessary, by providing them in more detail. </w:t>
            </w:r>
          </w:p>
          <w:p w14:paraId="645E300C"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Event organizer services:</w:t>
            </w:r>
          </w:p>
          <w:p w14:paraId="0C6618D3"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event planning, organization and service; </w:t>
            </w:r>
          </w:p>
          <w:p w14:paraId="43D30FAC"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searching for service providers necessary for the implementation of the event, presenting offers to the Contracting Authority, clearance of orders with service providers, conclusion of contracts, settlement, ensuring high-quality work of service providers;</w:t>
            </w:r>
          </w:p>
          <w:p w14:paraId="130D1C1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preparation of the event cost estimate and its reconciliation with the Contracting Authority;</w:t>
            </w:r>
          </w:p>
          <w:p w14:paraId="78FB79B1"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preparation and reconciliation of the event organisation plan with the Contracting Authority;</w:t>
            </w:r>
          </w:p>
          <w:p w14:paraId="6278653F"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design of the event venue, which includes the preparation of information signs, representational means provided by the Contracting Authority (stands, flags, photo walls, etc.), the event agenda and other necessary information (hereinafter referred to as – information notices), as well as ensuring that information notices are placed (installed/posted) in clearly visible places at the event venue (rooms) agreed with the Contracting Authority;</w:t>
            </w:r>
          </w:p>
          <w:p w14:paraId="3FD11C1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provision of stationery for events. The Service Provider, taking into account the specifics of the event and the wishes of the Contracting Authority, undertakes to prepare, produce and/or provide with stationery necessary for the events. All means must be of high quality and meet the quality requirements for such means;</w:t>
            </w:r>
          </w:p>
          <w:p w14:paraId="542FA85F" w14:textId="77777777" w:rsidR="0046613C" w:rsidRPr="0046613C" w:rsidRDefault="0046613C" w:rsidP="0046613C">
            <w:pPr>
              <w:numPr>
                <w:ilvl w:val="3"/>
                <w:numId w:val="2"/>
              </w:numPr>
              <w:contextualSpacing/>
              <w:jc w:val="both"/>
              <w:rPr>
                <w:rFonts w:ascii="Times New Roman" w:eastAsia="Times New Roman" w:hAnsi="Times New Roman" w:cs="Times New Roman"/>
                <w:b/>
                <w:bCs/>
                <w:u w:val="single"/>
              </w:rPr>
            </w:pPr>
            <w:r w:rsidRPr="0046613C">
              <w:rPr>
                <w:rFonts w:ascii="Times New Roman" w:hAnsi="Times New Roman" w:cs="Times New Roman"/>
              </w:rPr>
              <w:t>services for preparing and cleaning the event venue(s) after the event.</w:t>
            </w:r>
          </w:p>
          <w:p w14:paraId="435B34AE"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Event assistant services:</w:t>
            </w:r>
          </w:p>
          <w:p w14:paraId="1D00CDD5"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meeting event participants at the event venue; </w:t>
            </w:r>
          </w:p>
          <w:p w14:paraId="42E516F5"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providing information about the event to event participants; </w:t>
            </w:r>
          </w:p>
          <w:p w14:paraId="69AE7FC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registration of event participants at the event venue; </w:t>
            </w:r>
          </w:p>
          <w:p w14:paraId="6669002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preparation (packaging) and delivery of participant cards, gifts and/or handouts, which will be provided by the Contracting Authority or produced by the Service Provider, to the event participants;</w:t>
            </w:r>
          </w:p>
          <w:p w14:paraId="65370871"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directing and/or escorting event participants to the event room(s), venue(s);</w:t>
            </w:r>
          </w:p>
          <w:p w14:paraId="0B4BCD11" w14:textId="77777777" w:rsidR="0046613C" w:rsidRPr="0046613C" w:rsidRDefault="0046613C" w:rsidP="0046613C">
            <w:pPr>
              <w:numPr>
                <w:ilvl w:val="2"/>
                <w:numId w:val="2"/>
              </w:numPr>
              <w:contextualSpacing/>
              <w:jc w:val="both"/>
              <w:rPr>
                <w:rFonts w:ascii="Times New Roman" w:hAnsi="Times New Roman" w:cs="Times New Roman"/>
                <w:b/>
                <w:bCs/>
                <w:u w:val="single"/>
              </w:rPr>
            </w:pPr>
            <w:r w:rsidRPr="0046613C">
              <w:rPr>
                <w:rFonts w:ascii="Times New Roman" w:hAnsi="Times New Roman" w:cs="Times New Roman"/>
                <w:b/>
                <w:bCs/>
              </w:rPr>
              <w:t>Event photography services:</w:t>
            </w:r>
          </w:p>
          <w:p w14:paraId="7606BBDF" w14:textId="77777777" w:rsidR="0046613C" w:rsidRPr="0046613C" w:rsidRDefault="0046613C" w:rsidP="0046613C">
            <w:pPr>
              <w:numPr>
                <w:ilvl w:val="3"/>
                <w:numId w:val="2"/>
              </w:numPr>
              <w:contextualSpacing/>
              <w:jc w:val="both"/>
              <w:rPr>
                <w:rFonts w:ascii="Times New Roman" w:hAnsi="Times New Roman" w:cs="Times New Roman"/>
                <w:b/>
                <w:bCs/>
                <w:u w:val="single"/>
              </w:rPr>
            </w:pPr>
            <w:r w:rsidRPr="0046613C">
              <w:rPr>
                <w:rFonts w:ascii="Times New Roman" w:hAnsi="Times New Roman" w:cs="Times New Roman"/>
              </w:rPr>
              <w:t>photography services must be provided by a professional photographer. Candidacies are coordinated with the Contracting Authority in writing. The Contracting Authority may reject proposed candidates. In such cases, the Supplier must replace these candidates.</w:t>
            </w:r>
          </w:p>
          <w:p w14:paraId="7B624AC7" w14:textId="77777777" w:rsidR="0046613C" w:rsidRPr="0046613C" w:rsidRDefault="0046613C" w:rsidP="0046613C">
            <w:pPr>
              <w:numPr>
                <w:ilvl w:val="3"/>
                <w:numId w:val="2"/>
              </w:numPr>
              <w:contextualSpacing/>
              <w:jc w:val="both"/>
              <w:rPr>
                <w:rFonts w:ascii="Times New Roman" w:hAnsi="Times New Roman" w:cs="Times New Roman"/>
                <w:b/>
                <w:bCs/>
                <w:u w:val="single"/>
              </w:rPr>
            </w:pPr>
            <w:r w:rsidRPr="0046613C">
              <w:rPr>
                <w:rFonts w:ascii="Times New Roman" w:hAnsi="Times New Roman" w:cs="Times New Roman"/>
              </w:rPr>
              <w:t>selected and edited photographs must be submitted no later than within 3 working days of the end of the event (with the exception of up to 10 photos submitted no later than the next working day after the end of the event);</w:t>
            </w:r>
          </w:p>
          <w:p w14:paraId="04DB9C5F" w14:textId="77777777" w:rsidR="0046613C" w:rsidRPr="0046613C" w:rsidRDefault="0046613C" w:rsidP="0046613C">
            <w:pPr>
              <w:numPr>
                <w:ilvl w:val="3"/>
                <w:numId w:val="2"/>
              </w:numPr>
              <w:tabs>
                <w:tab w:val="left" w:pos="1985"/>
              </w:tabs>
              <w:contextualSpacing/>
              <w:jc w:val="both"/>
              <w:rPr>
                <w:rFonts w:ascii="Times New Roman" w:hAnsi="Times New Roman" w:cs="Times New Roman"/>
                <w:b/>
                <w:bCs/>
                <w:color w:val="000000"/>
              </w:rPr>
            </w:pPr>
            <w:r w:rsidRPr="0046613C">
              <w:rPr>
                <w:rFonts w:ascii="Times New Roman" w:hAnsi="Times New Roman" w:cs="Times New Roman"/>
              </w:rPr>
              <w:t xml:space="preserve"> The service provider must provide photos in two formats: a resolution suitable for posting photos on social networks and a resolution of at least 300 dpi;</w:t>
            </w:r>
          </w:p>
          <w:p w14:paraId="780AA786" w14:textId="77777777" w:rsidR="0046613C" w:rsidRPr="0046613C" w:rsidRDefault="0046613C" w:rsidP="0046613C">
            <w:pPr>
              <w:numPr>
                <w:ilvl w:val="3"/>
                <w:numId w:val="2"/>
              </w:numPr>
              <w:tabs>
                <w:tab w:val="left" w:pos="1985"/>
              </w:tabs>
              <w:contextualSpacing/>
              <w:jc w:val="both"/>
              <w:rPr>
                <w:rFonts w:ascii="Times New Roman" w:hAnsi="Times New Roman" w:cs="Times New Roman"/>
                <w:b/>
                <w:bCs/>
                <w:color w:val="000000"/>
              </w:rPr>
            </w:pPr>
            <w:r w:rsidRPr="0046613C">
              <w:rPr>
                <w:rFonts w:ascii="Times New Roman" w:hAnsi="Times New Roman" w:cs="Times New Roman"/>
              </w:rPr>
              <w:t xml:space="preserve"> Photos must be submitted to the email address specified in the contract.</w:t>
            </w:r>
          </w:p>
          <w:p w14:paraId="4BC9B6AA"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Event filming and presentation video creation services:</w:t>
            </w:r>
          </w:p>
          <w:p w14:paraId="147182AF"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filming services must be provided by a professional videographer. Candidacies are coordinated with the Contracting Authority in writing. The Contracting Authority may reject proposed candidates. In such cases, the Supplier must replace these candidates.</w:t>
            </w:r>
          </w:p>
          <w:p w14:paraId="61AF2EC4"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video recording(s) must be submitted no later than within 3 working days after the end of the event;</w:t>
            </w:r>
          </w:p>
          <w:p w14:paraId="18A20214"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service provider will be required to submit the video recording to the email address specified in the contract.</w:t>
            </w:r>
          </w:p>
          <w:p w14:paraId="1A3669D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The filmed material must be edited into 2 video recordings of the event: the first video up to 1 min in length, the second – up to 3 min in length.  The video recordings must be created using the ESF+ SI+ initiative brand book provided by the Contracting Authority. The video recording must be subtitled in English. It is necessary to plan at least 3-5 video corrections after the Contracting </w:t>
            </w:r>
            <w:r w:rsidRPr="0046613C">
              <w:rPr>
                <w:rFonts w:ascii="Times New Roman" w:hAnsi="Times New Roman" w:cs="Times New Roman"/>
              </w:rPr>
              <w:lastRenderedPageBreak/>
              <w:t>Authority's comments. The format of the video recordings must be suitable for publication on social networks, such as Facebook and YouTube, and on the website. The final video recordings must be approved by the Contracting Authority.</w:t>
            </w:r>
          </w:p>
          <w:p w14:paraId="34866BBD"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b/>
              </w:rPr>
            </w:pPr>
            <w:r w:rsidRPr="0046613C">
              <w:rPr>
                <w:rFonts w:ascii="Times New Roman" w:hAnsi="Times New Roman" w:cs="Times New Roman"/>
                <w:b/>
                <w:bCs/>
              </w:rPr>
              <w:t>Event venue rental</w:t>
            </w:r>
            <w:r w:rsidRPr="0046613C">
              <w:rPr>
                <w:rFonts w:ascii="Times New Roman" w:hAnsi="Times New Roman" w:cs="Times New Roman"/>
                <w:b/>
              </w:rPr>
              <w:t>:</w:t>
            </w:r>
          </w:p>
          <w:p w14:paraId="23E0125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b/>
              </w:rPr>
              <w:t xml:space="preserve"> </w:t>
            </w:r>
            <w:r w:rsidRPr="0046613C">
              <w:rPr>
                <w:rFonts w:ascii="Times New Roman" w:hAnsi="Times New Roman" w:cs="Times New Roman"/>
              </w:rPr>
              <w:t>The Contracting Authority orders the event venue (usually rooms), for example, a conference center or hotel hall (hereinafter referred to as - the event venue) on an as-needed basis. More detailed information about the desired event venue, the requirements to its location (geographical location), venue preparation (e.g., arrangement of tables, chairs, other inventory or equipment, etc.), technical, qualitative, aesthetic and other requirements will be provided when ordering the Services.</w:t>
            </w:r>
          </w:p>
          <w:p w14:paraId="662B9367"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Event venue rental services include the rental of an event venue that meets the established requirements, if a permit is required, at the request of the Contracting Authority, obtaining permits and/or mediation in obtaining a permit and other related services.</w:t>
            </w:r>
          </w:p>
          <w:p w14:paraId="30C2B86D"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Service Provider is responsible for the prevention of potential risks, taking into account the specifics of the event and the event venue (e.g. the actual compliance of the event venue offered by the Service Provider, located in a hotel, with civil protection (including, but not limited to, fire safety) requirements). The Service Provider must make sure that the economic operator (owner/manager of the event venue) has the right to engage in the relevant activities, has the necessary administrative documents (e.g. evacuation plans for people; fire safety instructions; plan for employees' actions in the event of a fire; a properly completed logbook for registering introductory fire safety briefings, etc.), whether the facilities, equipment, structures and mechanisms, etc. of the event venue are in a suitable condition for use, whether the event venue is suitable for use by everyone, and whether the event venue has all the means necessary for the successful and safe implementation of a specific event. For this purpose, the Service Provider must visit the event venue in advance to ensure its proper organization. Such visits should be made in advance so that, if necessary, an alternative venue or means of carrying out the event can be selected.</w:t>
            </w:r>
          </w:p>
          <w:p w14:paraId="3929F78D"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In cases where more than one location meets the requirements for the event venue, the Service Provider must offer at least 3 (three) alternative event venues during the coordination of the service order, if there are fewer such locations - all possible alternative locations, along with their preliminary rental prices.</w:t>
            </w:r>
          </w:p>
          <w:p w14:paraId="1A0AC0C7"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In order to ensure that the funds allocated to the procurement of services by the Contracting Authority are used rationally, the Service Provider must in all cases negotiate with the economic operator (owner/manager of the event venue) regarding additional services that must be included in the rental price of the event venue (e.g. conference equipment and inventory (screens, TVs, multimedia projectors with consoles and necessary computer equipment, sound system, microphones, writing boards or stands with high-quality writing tools; speaker's rostrum, etc.) with service, guest reception, cleaning services, etc.).</w:t>
            </w:r>
          </w:p>
          <w:p w14:paraId="299262FE"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Depending on the nature of the specific event, unless otherwise specified in the service order, the event venue must have properly functioning wireless Internet, the parameters of which correspond to the size of the event venue and the number of participants.</w:t>
            </w:r>
          </w:p>
          <w:p w14:paraId="6FEC75CC"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event venue must ensure high-quality work of facilities, equipment, structures, mechanisms, etc., and their maintenance and service must be carried out.</w:t>
            </w:r>
          </w:p>
          <w:p w14:paraId="5D7016E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If necessary, the event venue must be adapted to the needs of disabled people.</w:t>
            </w:r>
          </w:p>
          <w:p w14:paraId="302BAF9A"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A person(s) who can be contacted directly during the event in case of any problems regarding the halls, rooms, etc. used, as well as the facilities, equipment, structures, mechanisms, etc. belonging to them, must be designated at the event venue.</w:t>
            </w:r>
          </w:p>
          <w:p w14:paraId="16FC8150"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The event venue (hall, room, etc.) must have a functioning air conditioning and ventilation system, and the rooms themselves must be clean, tidy, properly lit, and additionally heated if necessary.</w:t>
            </w:r>
          </w:p>
          <w:p w14:paraId="6FF98FC9"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The event venue (hall, etc.) must ensure alternative seating arrangements for participants, good conditions for seeing and hearing the information presented, and the event venue must be adapted and selected taking into account the number of event participants.</w:t>
            </w:r>
          </w:p>
          <w:p w14:paraId="540DF4ED"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lastRenderedPageBreak/>
              <w:t>If necessary, separate rooms/workplaces must be prepared at the event venue (in the same building) for participant registration (with tables and chairs for this purpose), coffee breaks and (or) a cloakroom, etc.</w:t>
            </w:r>
          </w:p>
          <w:p w14:paraId="3679F8F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If necessary, the Contracting Authority may request that event participants be provided with the opportunity to use up to 10 parking spaces free of charge in the parking lot (if available at the event location).</w:t>
            </w:r>
          </w:p>
          <w:p w14:paraId="0050356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The event venue must be ready at least 1 (one) hour before the start of the event, unless otherwise specified in the service order.</w:t>
            </w:r>
          </w:p>
          <w:p w14:paraId="201C9F6F"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b/>
                <w:bCs/>
              </w:rPr>
              <w:t xml:space="preserve">Event </w:t>
            </w:r>
            <w:r w:rsidRPr="0046613C">
              <w:rPr>
                <w:rFonts w:ascii="Times New Roman" w:hAnsi="Times New Roman" w:cs="Times New Roman"/>
                <w:b/>
                <w:bCs/>
                <w:color w:val="000000"/>
              </w:rPr>
              <w:t>venue design and decoration:</w:t>
            </w:r>
          </w:p>
          <w:p w14:paraId="051D2CF6"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Contracting Authority orders the venue design and decoration services on as-needed basis. More detailed information about the event venue design and decoration services, the requirements applicable to their scope, layout, quality, aesthetic and other requirements will be provided during the service order (reopened competition).</w:t>
            </w:r>
          </w:p>
          <w:p w14:paraId="4B528DBE"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venue design and decoration services may include one or more of the following services: rental, production, loading, transportation, installation, dismantling, disposal of decorations (floristic objects, signs, necessary attributes and symbols, special lighting, podiums, rostrums, other design or decorative elements and inventory (tables, chairs) and other related services.</w:t>
            </w:r>
          </w:p>
          <w:p w14:paraId="39148A97"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Decorations must be aesthetic, consistent with the theme of the event, floristic objects made of fresh cut flowers, unless otherwise specified in the service order (reopened competition), must be adapted to the size of the event venue and correspond to the nature and importance of the event. Decorations must be in harmony with each other and with the environment of the event venue.</w:t>
            </w:r>
          </w:p>
          <w:p w14:paraId="64159127"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Decorations and their arrangement must comply with the design and decoration concept agreed in advance with the Contracting Authority.</w:t>
            </w:r>
          </w:p>
          <w:p w14:paraId="2A6E7E41"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Rental and servicing of event equipment (sound, lighting, streaming, translation into and from foreign languages, representation, etc.):</w:t>
            </w:r>
          </w:p>
          <w:p w14:paraId="6BEE4B78" w14:textId="77777777" w:rsidR="0046613C" w:rsidRPr="0046613C" w:rsidRDefault="0046613C" w:rsidP="0046613C">
            <w:pPr>
              <w:numPr>
                <w:ilvl w:val="3"/>
                <w:numId w:val="2"/>
              </w:numPr>
              <w:tabs>
                <w:tab w:val="left" w:pos="567"/>
              </w:tabs>
              <w:spacing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Contracting Authority orders event equipment rental and maintenance services on as-needed basis. More detailed information about event equipment rental and maintenance services, including quantity, assembly (installation) location, deadlines and other requirements, will be provided during the service order (reopened competition).</w:t>
            </w:r>
          </w:p>
          <w:p w14:paraId="2FD21BDA"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equipment rental and service include loading, transportation, assembly/disassembly, installation, maintenance, servicing of event equipment and other related services.</w:t>
            </w:r>
          </w:p>
          <w:p w14:paraId="2A834B58"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equipment must be delivered to the specified event venue, assembled (installed), tested, and after the event, dismantled and removed within the deadlines set in the service order.</w:t>
            </w:r>
          </w:p>
          <w:p w14:paraId="09EE3DF2"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equipment must be in impeccable condition and assembled (installed) with particular care.</w:t>
            </w:r>
          </w:p>
          <w:p w14:paraId="13CB31A0"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Qualified event equipment personnel must be present at the event venue throughout the event to service it.</w:t>
            </w:r>
          </w:p>
          <w:p w14:paraId="753B9041"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Depending on the nature of the event and the program, wireless microphones, lapel microphones, clip-on microphones, stand microphones, etc. may be required. Special requirements for microphones, their rental and service:</w:t>
            </w:r>
          </w:p>
          <w:p w14:paraId="0919F23F"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Microphones must be resistant to interference from mobile phones;</w:t>
            </w:r>
          </w:p>
          <w:p w14:paraId="436F0C44"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If simultaneous interpretation is performed during the event, the microphones must be compatible with the simultaneous interpretation system;</w:t>
            </w:r>
          </w:p>
          <w:p w14:paraId="16365B15"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simultaneous interpretation (streaming) system must meet the following minimum functional requirements:</w:t>
            </w:r>
          </w:p>
          <w:p w14:paraId="3E50E7F5"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Must be adapted to the number of event participants;</w:t>
            </w:r>
          </w:p>
          <w:p w14:paraId="40DF65BD"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It must be possible to adjust the configuration of the technical equipment according to the needs of the event;</w:t>
            </w:r>
          </w:p>
          <w:p w14:paraId="554EE54A"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High sound transmission quality must be ensured, the interpretation must be transmitted very clearly, without any extraneous noise;</w:t>
            </w:r>
          </w:p>
          <w:p w14:paraId="4EBF3BB9"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quality of the signal transmitted by the simultaneous interpretation (streaming) system must not be affected by the lighting of the room;</w:t>
            </w:r>
          </w:p>
          <w:p w14:paraId="1962FB0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lastRenderedPageBreak/>
              <w:t>Each listener must be able to select the desired listening channel and adjust the interpretation volume level;</w:t>
            </w:r>
          </w:p>
          <w:p w14:paraId="0544243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system must be easy to operate and can be connected to other systems (audio recording, discussion equipment, streaming equipment, etc.).</w:t>
            </w:r>
          </w:p>
          <w:p w14:paraId="222D2293"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Each interpreter must be equipped with a separate interpretation console with a microphone and professional headphones.</w:t>
            </w:r>
          </w:p>
          <w:p w14:paraId="389432C6"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laptops, their rental and maintenance services. Characteristics of laptops:</w:t>
            </w:r>
          </w:p>
          <w:p w14:paraId="286CB9D0"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screen size: at least 13 (thirteen) inches;</w:t>
            </w:r>
          </w:p>
          <w:p w14:paraId="6E2118E8"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RAM: at least 6 (six) GB;</w:t>
            </w:r>
          </w:p>
          <w:p w14:paraId="06C56CE7"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wireless communication technologies that ensure high-quality wireless communication;</w:t>
            </w:r>
          </w:p>
          <w:p w14:paraId="5EEF8DB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ports: at least 1 pc. – USB 3.1;</w:t>
            </w:r>
          </w:p>
          <w:p w14:paraId="271BACD9"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video camera: integrated;</w:t>
            </w:r>
          </w:p>
          <w:p w14:paraId="6BC2C9BC"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weight: no more than 2 kg.</w:t>
            </w:r>
          </w:p>
          <w:p w14:paraId="2AC22763"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Laptops must be equipped with licensed software: an operating system, Microsoft Office or an equivalent office suite (allowing reading and editing, including, but not limited to, files in the following formats: .txt, .rtf, .doc, .docx, .ppt, .pptx, .xls, .xlsx), antivirus software, drivers, and other software necessary for the proper and reliable functioning of the laptop.</w:t>
            </w:r>
          </w:p>
          <w:p w14:paraId="756DBEA1" w14:textId="77777777" w:rsidR="0046613C" w:rsidRPr="0046613C" w:rsidRDefault="0046613C" w:rsidP="0046613C">
            <w:pPr>
              <w:numPr>
                <w:ilvl w:val="4"/>
                <w:numId w:val="2"/>
              </w:numPr>
              <w:tabs>
                <w:tab w:val="left" w:pos="567"/>
                <w:tab w:val="left" w:pos="1598"/>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Unless otherwise specified in the Service Order, laptops must be rented with the necessary accessories (power and connection cable, etc.), a wireless mouse and a laptop bag.</w:t>
            </w:r>
          </w:p>
          <w:p w14:paraId="0E371323"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multimedia projectors (hereinafter referred to as projectors), their rental and maintenance services. Projector characteristics:</w:t>
            </w:r>
          </w:p>
          <w:p w14:paraId="71E5E7E0"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resolution: must be at least 1280×800 px;</w:t>
            </w:r>
          </w:p>
          <w:p w14:paraId="1BFD652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luminous flux: at least 5000 lumens;</w:t>
            </w:r>
          </w:p>
          <w:p w14:paraId="631D541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contrast: at least 5000:1;</w:t>
            </w:r>
          </w:p>
          <w:p w14:paraId="772EE90A"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accessories: projector remote control and laser pointer.</w:t>
            </w:r>
          </w:p>
          <w:p w14:paraId="5DAF0ECE"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Unless otherwise specified in the Service Order, projectors must be rented with the necessary accessories (power and connection cables, demonstration screen, etc.) and a projector bag.</w:t>
            </w:r>
          </w:p>
          <w:p w14:paraId="1FD7DD83"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LED screens, their rental and maintenance services:</w:t>
            </w:r>
          </w:p>
          <w:p w14:paraId="3759BAEA"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be colored and have contrast adjustment capabilities;</w:t>
            </w:r>
          </w:p>
          <w:p w14:paraId="08647210"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be able to stream images from a computer, USB storage device, etc., and the different image sources used must be interchangeable.</w:t>
            </w:r>
          </w:p>
          <w:p w14:paraId="10787521"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have a modular structure that allows for the formation of screens of various shapes (rectangle, column, arch, strip, etc.).</w:t>
            </w:r>
          </w:p>
          <w:p w14:paraId="783237FE"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be provided with a safe screen-supporting structure, mounting parts, and equipment required for installation (video console, hardware and software, power, connection and other cables, transformers, etc.).</w:t>
            </w:r>
          </w:p>
          <w:p w14:paraId="399B16A4"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sound equipment sets, their rental and maintenance services:</w:t>
            </w:r>
          </w:p>
          <w:p w14:paraId="0DC065BA"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Sound equipment sets must match the nature of the event, the size of the event space, location, and program, form a unified functioning system, and ensure clear and high-quality sound for the event.</w:t>
            </w:r>
          </w:p>
          <w:p w14:paraId="290B4360"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Sound equipment sets must be provided with the necessary stands, supporting structures, installation parts, equipment required for installation and control (hardware and software, power, connection and other cables, transformers, etc.).</w:t>
            </w:r>
          </w:p>
          <w:p w14:paraId="30247332"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lighting equipment kits, their rental and maintenance services:</w:t>
            </w:r>
          </w:p>
          <w:p w14:paraId="01641D49"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sets must match the nature of the event, the size of the room and/or stage, the location, and the program, form a unified functioning system, and ensure high-quality lighting for the event.</w:t>
            </w:r>
          </w:p>
          <w:p w14:paraId="78C41E02"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sets must be suitable for photo/video lighting.</w:t>
            </w:r>
          </w:p>
          <w:p w14:paraId="16C01E2E"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sets must be provided with the necessary stands, supporting structures, installation parts, equipment required for installation and control (control panel, computer, hardware and software, power, connection and other cables, transformers, etc.).</w:t>
            </w:r>
          </w:p>
          <w:p w14:paraId="6352757E"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lastRenderedPageBreak/>
              <w:t>Audio/video recordings of the event will need to be submitted to the e-mail address specified in the contract or on a computer medium;</w:t>
            </w:r>
          </w:p>
          <w:p w14:paraId="6D72581C"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live streaming equipment:</w:t>
            </w:r>
          </w:p>
          <w:p w14:paraId="56AB153E"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a streaming computer with special streaming software, video and audio input boards, and a streaming director;</w:t>
            </w:r>
          </w:p>
          <w:p w14:paraId="7C5ADB17"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a video camera(s), an operator and a director (according to the needs of the event);</w:t>
            </w:r>
          </w:p>
          <w:p w14:paraId="4493ECF4"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a video console (for changing camera images);</w:t>
            </w:r>
          </w:p>
          <w:p w14:paraId="79F6202F"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for cameras;</w:t>
            </w:r>
          </w:p>
          <w:p w14:paraId="723D9937"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sound console, portable radio microphone, head-mounted microphone, rostrum microphone, speakers;</w:t>
            </w:r>
          </w:p>
          <w:p w14:paraId="402BD3C8"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The streaming should take place on the Contracting Authority's YouTube channel or another designated channel;</w:t>
            </w:r>
          </w:p>
          <w:p w14:paraId="6C6882C9"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If necessary, there must be a possibility of streaming in multiple languages.</w:t>
            </w:r>
          </w:p>
          <w:p w14:paraId="006E3EC7"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Rental and maintenance services of event structures (platforms, partitions, etc.):</w:t>
            </w:r>
          </w:p>
          <w:p w14:paraId="206AFF2F" w14:textId="77777777" w:rsidR="0046613C" w:rsidRPr="0046613C" w:rsidRDefault="0046613C" w:rsidP="0046613C">
            <w:pPr>
              <w:numPr>
                <w:ilvl w:val="3"/>
                <w:numId w:val="2"/>
              </w:numPr>
              <w:tabs>
                <w:tab w:val="left" w:pos="567"/>
              </w:tabs>
              <w:spacing w:after="60"/>
              <w:contextualSpacing/>
              <w:jc w:val="both"/>
              <w:rPr>
                <w:rFonts w:ascii="Times New Roman" w:hAnsi="Times New Roman" w:cs="Times New Roman"/>
                <w:color w:val="000000"/>
              </w:rPr>
            </w:pPr>
            <w:r w:rsidRPr="0046613C">
              <w:rPr>
                <w:rFonts w:ascii="Times New Roman" w:hAnsi="Times New Roman" w:cs="Times New Roman"/>
                <w:color w:val="000000"/>
              </w:rPr>
              <w:t>event structures (platforms, partitions, etc.) rental and maintenance services are ordered by the Contracting Authority on as-needed basis. More detailed information on rental and maintenance services for event structures (platforms, partitions, etc.) and the requirements for them will be provided during the service order (reopened competition).</w:t>
            </w:r>
          </w:p>
          <w:p w14:paraId="43CC6BF7"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Rental and maintenance services of event structures (platforms, partitions, etc.) may include one or more of the following services: rental, manufacture, loading, transportation, installation, dismantling of platforms, partitions, etc. and other related services.</w:t>
            </w:r>
          </w:p>
          <w:p w14:paraId="1456C96C"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Event structures must be aesthetic, durable, meet the theme of the event and meet safety requirements. Event structures must be in harmony with each other and with the general environment of the event venue.</w:t>
            </w:r>
          </w:p>
          <w:p w14:paraId="6079F891"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arrangement of the event structures must comply with the concept agreed in advance with the Contracting Authority.</w:t>
            </w:r>
          </w:p>
          <w:p w14:paraId="4241C5B1"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Event structures must be in impeccable condition and assembled (installed) with particular care.</w:t>
            </w:r>
          </w:p>
          <w:p w14:paraId="7049EA2B"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Cargo (gifts for event participants, event attributes provided by the Contracting Authority) transportation services:</w:t>
            </w:r>
          </w:p>
          <w:p w14:paraId="5EA96FC7"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orders cargo (gifts for event participants, event attributes provided by the Contracting Authority) transportation services on an as-needed basis. More detailed information about cargo (gifts for event participants, event attributes provided by the Contracting Authority) transportation services and the requirements for them will be provided when ordering services.</w:t>
            </w:r>
          </w:p>
          <w:p w14:paraId="2531FE62"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When providing cargo transportation services, the Service Provider must ensure proper cargo transportation without damaging the goods being transported, take care of the necessary documents for cargo transportation and guarantee the delivery of the cargo to the specified location by the specified deadline (usually one day before the event). After the event, the cargo must be delivered to the specified address.</w:t>
            </w:r>
          </w:p>
          <w:p w14:paraId="09F8CE52"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When sending cargo from Lithuania (from the Contracting Authority's storage location) to the event venue, the cargo is prepared by the Contracting Authority. The Service Provider must inform the Contracting Authority when the shipment should be prepared no later than 5 (five) working days before the day of cargo collection. The exact date and time of collection must be agreed with and approved by the Contracting Authority.</w:t>
            </w:r>
          </w:p>
          <w:p w14:paraId="290FD5AA"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When sending cargo from the event venue to Lithuania (to the Contracting Authority's storage location), the cargo is prepared by the Service Provider. The Service Provider must inform the Contracting Authority when the shipment is planned to be delivered at least 3 (three) working days before the cargo delivery date. The exact delivery date and time must be agreed with and approved by the Contracting Authority.</w:t>
            </w:r>
          </w:p>
          <w:p w14:paraId="5F84A53C"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Participant transportation services:</w:t>
            </w:r>
          </w:p>
          <w:p w14:paraId="7EC3DDC3"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lastRenderedPageBreak/>
              <w:t>The Contracting Authority orders transportation services for event participants on an as-needed basis. More detailed information about transportation services for participants and the requirements will be provided during the service order (reopened competition).</w:t>
            </w:r>
          </w:p>
          <w:p w14:paraId="3B1F826B"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Transportation services for event participants must be provided with three- or four-star category buses (according to the International Tourist Coach Classification System adopted by the International Road Transport Union in 1985) and minibuses or passenger cars;</w:t>
            </w:r>
          </w:p>
          <w:p w14:paraId="42DB1105"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Transport services must be provided by technically and functionally sound vehicles that are in excellent condition and have a representative appearance. Proposed vehicles must be coordinated and agreed upon with the Contracting Authority;</w:t>
            </w:r>
          </w:p>
          <w:p w14:paraId="6928D7F6"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rPr>
              <w:t>Transportation services for event participants must be provided in compliance with all necessary requirements in a specific country, i.e. must be equipped with necessary safety equipment that meets the technical requirements set out in the road traffic regulations, insured with compulsory third-party liability insurance for vehicle owners and managers, and insurance for drivers and passengers against accidents; must have a valid technical inspection certificate, passenger transport license card, etc.</w:t>
            </w:r>
          </w:p>
          <w:p w14:paraId="5EF1EED4"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It must be ensured that communication with transport vehicle drivers is possible in English at least at a B1 level or equivalent, or that translation services are provided.</w:t>
            </w:r>
          </w:p>
          <w:p w14:paraId="02641B87"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service provider is liable for damage caused to the life, health or property of a passenger during the trip, unless there is evidence that the damage was caused by the passenger's own fault.</w:t>
            </w:r>
          </w:p>
          <w:p w14:paraId="5580BBB8"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Services of event host(s) and/or thematic session moderator(s):</w:t>
            </w:r>
          </w:p>
          <w:p w14:paraId="46AE6C18"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orders the services of the event host(s) and/or thematic session moderator(s) on an as-needed basis. More detailed information about the services of the event host(s) and/or thematic session moderator(s) and the requirements will be provided during the service order (reopened competition).</w:t>
            </w:r>
          </w:p>
          <w:p w14:paraId="2C75B4EE"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event host(s) and/or thematic session moderator(s) and/or the Service Provider must prepare and coordinate a script with the Contracting Authority.</w:t>
            </w:r>
          </w:p>
          <w:p w14:paraId="3AAACAA1"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Catering services for event participants:</w:t>
            </w:r>
          </w:p>
          <w:p w14:paraId="452C56DC"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shall order catering services for the event participants on as-needed basis. The Contracting Authority shall select specific requirements for catering services prior to each specific event. The catering establishment must have appropriate spaces and the necessary personnel for prompt and high-quality service.</w:t>
            </w:r>
          </w:p>
          <w:p w14:paraId="510CFDA1"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Catering services must be provided in accordance with European Union legislation, other legislation regulating food hygiene and food safety and handling. The dishes and beverages offered by the service provider must comply with the quality and suitability for consumption requirements set out in legislation, sanitary and hygienic norms and other established standards.</w:t>
            </w:r>
          </w:p>
          <w:p w14:paraId="7A6ADCCE"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Serving and catering services include preparing food, serving food and beverages during receptions (seated and (or) standing), table service for event participants, setting and decorating tables, delivery and other services.</w:t>
            </w:r>
          </w:p>
          <w:p w14:paraId="70A5CA70" w14:textId="77777777" w:rsidR="0046613C" w:rsidRPr="0046613C" w:rsidRDefault="0046613C" w:rsidP="0046613C">
            <w:pPr>
              <w:numPr>
                <w:ilvl w:val="3"/>
                <w:numId w:val="2"/>
              </w:numPr>
              <w:contextualSpacing/>
              <w:jc w:val="both"/>
              <w:rPr>
                <w:rFonts w:ascii="Times New Roman" w:hAnsi="Times New Roman" w:cs="Times New Roman"/>
                <w:b/>
                <w:bCs/>
              </w:rPr>
            </w:pPr>
            <w:r w:rsidRPr="0046613C">
              <w:rPr>
                <w:rFonts w:ascii="Times New Roman" w:hAnsi="Times New Roman" w:cs="Times New Roman"/>
                <w:color w:val="000000"/>
              </w:rPr>
              <w:t>The service provider must ensure a sufficient number of service personnel to ensure the smooth provision of catering services. It must be ensured that communication with waitstaff at events is possible in English at a minimum B1 level (or equivalent as per Europass) or that adequate translation services are provided.</w:t>
            </w:r>
          </w:p>
          <w:p w14:paraId="2354116B"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Services for organizing the social and cultural program of the event:</w:t>
            </w:r>
          </w:p>
          <w:p w14:paraId="6B2CEA8B"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social and cultural program may include the organization of guided tours, live music, other artistic performances, ordering and purchasing entrance tickets to visited objects (museums, exhibitions, concerts and other places), trips and (or) visits to other sites of projects financed with international financial support funds, and other similar services;</w:t>
            </w:r>
          </w:p>
          <w:p w14:paraId="352ECAF0"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 xml:space="preserve">The service provider must ensure the necessary equipment for the social and cultural program (including the installation of temporary changing rooms, pavilions, stands), furniture, service, event service personnel and other services related to the organization of this type of event. </w:t>
            </w:r>
          </w:p>
          <w:p w14:paraId="5F2C1727"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Preparation and/or production of equipment required for events:</w:t>
            </w:r>
          </w:p>
          <w:p w14:paraId="39811553"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lastRenderedPageBreak/>
              <w:t>The service provider, taking into account the specifics of the event and the wishes of the Contracting Authority, undertakes to prepare, design, manufacture, and install the equipment necessary for the events:</w:t>
            </w:r>
          </w:p>
          <w:p w14:paraId="281BE90C" w14:textId="77777777" w:rsidR="0046613C" w:rsidRPr="0046613C" w:rsidRDefault="0046613C" w:rsidP="0046613C">
            <w:pPr>
              <w:numPr>
                <w:ilvl w:val="4"/>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event participant card layout and printing services;</w:t>
            </w:r>
          </w:p>
          <w:p w14:paraId="51C8274F"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photo wall layout, print production and installation services;</w:t>
            </w:r>
          </w:p>
          <w:p w14:paraId="0698D326"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information stand layout, print production and installation services;</w:t>
            </w:r>
          </w:p>
          <w:p w14:paraId="2FE91D4A"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various souvenirs for event participants.</w:t>
            </w:r>
          </w:p>
          <w:p w14:paraId="1D157A79"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Services are ordered if additional means that the Contracting Authority does not have are ordered.</w:t>
            </w:r>
          </w:p>
          <w:p w14:paraId="5C083E96" w14:textId="77777777" w:rsidR="0046613C" w:rsidRPr="0046613C" w:rsidRDefault="0046613C" w:rsidP="0046613C">
            <w:pPr>
              <w:numPr>
                <w:ilvl w:val="2"/>
                <w:numId w:val="2"/>
              </w:numPr>
              <w:contextualSpacing/>
              <w:jc w:val="both"/>
              <w:rPr>
                <w:rFonts w:ascii="Times New Roman" w:eastAsia="Times New Roman" w:hAnsi="Times New Roman" w:cs="Times New Roman"/>
                <w:b/>
                <w:bCs/>
              </w:rPr>
            </w:pPr>
            <w:r w:rsidRPr="0046613C">
              <w:rPr>
                <w:rFonts w:ascii="Times New Roman" w:hAnsi="Times New Roman" w:cs="Times New Roman"/>
                <w:b/>
                <w:bCs/>
              </w:rPr>
              <w:t>Interpretation and/or simultaneous interpretation services required for events:</w:t>
            </w:r>
          </w:p>
          <w:p w14:paraId="4355D709"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service provider, taking into account the specifics of the event, may order:</w:t>
            </w:r>
          </w:p>
          <w:p w14:paraId="4F27463E" w14:textId="77777777" w:rsidR="0046613C" w:rsidRPr="0046613C" w:rsidRDefault="0046613C" w:rsidP="0046613C">
            <w:pPr>
              <w:numPr>
                <w:ilvl w:val="4"/>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interpretation services;</w:t>
            </w:r>
          </w:p>
          <w:p w14:paraId="30BE876D"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simultaneous interpretation services;</w:t>
            </w:r>
          </w:p>
          <w:p w14:paraId="185E1E57"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color w:val="000000"/>
              </w:rPr>
              <w:t xml:space="preserve">The Service Provider must ensure that the interpretation services are provided by qualified specialists. Candidacies are coordinated with the Contracting Authority in writing. </w:t>
            </w:r>
            <w:r w:rsidRPr="0046613C">
              <w:rPr>
                <w:rFonts w:ascii="Times New Roman" w:hAnsi="Times New Roman" w:cs="Times New Roman"/>
              </w:rPr>
              <w:t>The Contracting Authority may reject proposed candidates. In such cases, the Supplier must replace these candidates.</w:t>
            </w:r>
          </w:p>
          <w:p w14:paraId="6DBEBCDB" w14:textId="77777777" w:rsidR="0046613C" w:rsidRPr="0046613C" w:rsidRDefault="0046613C" w:rsidP="0046613C">
            <w:pPr>
              <w:numPr>
                <w:ilvl w:val="3"/>
                <w:numId w:val="2"/>
              </w:numPr>
              <w:tabs>
                <w:tab w:val="left" w:pos="567"/>
              </w:tabs>
              <w:spacing w:before="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When providing simultaneous interpretation services, simultaneous interpretation booths, interpretation and discussion equipment must be installed. The interpretation booths must be located in the same room as the event, and adequate visibility for the interpreters must be ensured.</w:t>
            </w:r>
          </w:p>
          <w:p w14:paraId="496001D0" w14:textId="77777777" w:rsidR="0046613C" w:rsidRPr="0046613C" w:rsidRDefault="0046613C" w:rsidP="0046613C">
            <w:pPr>
              <w:numPr>
                <w:ilvl w:val="2"/>
                <w:numId w:val="2"/>
              </w:numPr>
              <w:contextualSpacing/>
              <w:jc w:val="both"/>
              <w:rPr>
                <w:rFonts w:ascii="Times New Roman" w:hAnsi="Times New Roman" w:cs="Times New Roman"/>
              </w:rPr>
            </w:pPr>
            <w:r w:rsidRPr="0046613C">
              <w:rPr>
                <w:rFonts w:ascii="Times New Roman" w:hAnsi="Times New Roman" w:cs="Times New Roman"/>
                <w:b/>
                <w:bCs/>
              </w:rPr>
              <w:t xml:space="preserve">Other services (services directly related to the organization and/or servicing of the event) </w:t>
            </w:r>
            <w:r w:rsidRPr="0046613C">
              <w:rPr>
                <w:rFonts w:ascii="Times New Roman" w:hAnsi="Times New Roman" w:cs="Times New Roman"/>
              </w:rPr>
              <w:t xml:space="preserve">for which the Contracting Authority does not have a separate public procurement contract, but without which the event cannot be properly organised and/or carried out. </w:t>
            </w:r>
          </w:p>
        </w:tc>
      </w:tr>
      <w:tr w:rsidR="0046613C" w:rsidRPr="0046613C" w14:paraId="16632090"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3F2F5881"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lastRenderedPageBreak/>
              <w:t>SCOPE OF THE SUBJECT MATTER OF PROCUREMENT</w:t>
            </w:r>
          </w:p>
        </w:tc>
      </w:tr>
      <w:tr w:rsidR="0046613C" w:rsidRPr="0046613C" w14:paraId="315E4563" w14:textId="77777777" w:rsidTr="0046613C">
        <w:trPr>
          <w:trHeight w:val="1007"/>
        </w:trPr>
        <w:tc>
          <w:tcPr>
            <w:tcW w:w="10065" w:type="dxa"/>
            <w:tcBorders>
              <w:top w:val="single" w:sz="4" w:space="0" w:color="auto"/>
              <w:left w:val="single" w:sz="4" w:space="0" w:color="auto"/>
              <w:bottom w:val="single" w:sz="4" w:space="0" w:color="auto"/>
              <w:right w:val="single" w:sz="4" w:space="0" w:color="auto"/>
            </w:tcBorders>
          </w:tcPr>
          <w:p w14:paraId="73E4FAAB"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Contracting Authority will purchase event organization services for a maximum of EUR 4,000,000 excluding VAT. Preliminary, it is planned to organize approximately 30 events per calendar year.</w:t>
            </w:r>
          </w:p>
          <w:p w14:paraId="32716177"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The Contracting Authority does not undertake to use the full value of the Contract during the period of validity of the Contract and will purchase services on an as-needed basis.  </w:t>
            </w:r>
          </w:p>
          <w:p w14:paraId="42B4E913"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rPr>
              <w:t>The maximum value provided for a specific event will be indicated in the invitation to the reopened competition</w:t>
            </w:r>
            <w:r w:rsidRPr="0046613C">
              <w:rPr>
                <w:rFonts w:ascii="Times New Roman" w:hAnsi="Times New Roman" w:cs="Times New Roman"/>
                <w:color w:val="000000"/>
              </w:rPr>
              <w:t>.</w:t>
            </w:r>
          </w:p>
        </w:tc>
      </w:tr>
      <w:tr w:rsidR="0046613C" w:rsidRPr="0046613C" w14:paraId="630D5FD7"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0898A562"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t>PLACE OF IMPLEMENTATION</w:t>
            </w:r>
          </w:p>
        </w:tc>
      </w:tr>
      <w:tr w:rsidR="0046613C" w:rsidRPr="0046613C" w14:paraId="3279456A" w14:textId="77777777" w:rsidTr="0046613C">
        <w:trPr>
          <w:trHeight w:val="196"/>
        </w:trPr>
        <w:tc>
          <w:tcPr>
            <w:tcW w:w="10065" w:type="dxa"/>
            <w:tcBorders>
              <w:top w:val="single" w:sz="4" w:space="0" w:color="auto"/>
              <w:left w:val="single" w:sz="4" w:space="0" w:color="auto"/>
              <w:bottom w:val="single" w:sz="4" w:space="0" w:color="auto"/>
              <w:right w:val="single" w:sz="4" w:space="0" w:color="auto"/>
            </w:tcBorders>
          </w:tcPr>
          <w:p w14:paraId="1322A0A3" w14:textId="77777777" w:rsidR="0046613C" w:rsidRPr="0046613C" w:rsidRDefault="0046613C" w:rsidP="0046613C">
            <w:pPr>
              <w:numPr>
                <w:ilvl w:val="1"/>
                <w:numId w:val="2"/>
              </w:numPr>
              <w:tabs>
                <w:tab w:val="left" w:pos="567"/>
              </w:tabs>
              <w:contextualSpacing/>
              <w:jc w:val="both"/>
              <w:rPr>
                <w:rFonts w:ascii="Times New Roman" w:eastAsia="Times New Roman" w:hAnsi="Times New Roman" w:cs="Times New Roman"/>
              </w:rPr>
            </w:pPr>
            <w:r w:rsidRPr="0046613C">
              <w:rPr>
                <w:rFonts w:ascii="Times New Roman" w:hAnsi="Times New Roman" w:cs="Times New Roman"/>
              </w:rPr>
              <w:t>It is planned that the events will take place in the European Union countries, however, depending on the needs of the ESF+ SI+ initiative, up to 4 events may be organised in other (non-EU) countries. At present, the specific locations of the events are not known, but it is planned that the events will take place in different countries, and 1-2 events per year will be held in the same country.</w:t>
            </w:r>
          </w:p>
        </w:tc>
      </w:tr>
      <w:tr w:rsidR="0046613C" w:rsidRPr="0046613C" w14:paraId="582E13F5" w14:textId="77777777" w:rsidTr="0046613C">
        <w:trPr>
          <w:trHeight w:val="200"/>
        </w:trPr>
        <w:tc>
          <w:tcPr>
            <w:tcW w:w="10065" w:type="dxa"/>
            <w:tcBorders>
              <w:top w:val="single" w:sz="4" w:space="0" w:color="auto"/>
              <w:left w:val="single" w:sz="4" w:space="0" w:color="auto"/>
              <w:bottom w:val="single" w:sz="4" w:space="0" w:color="auto"/>
              <w:right w:val="single" w:sz="4" w:space="0" w:color="auto"/>
            </w:tcBorders>
          </w:tcPr>
          <w:p w14:paraId="7168AFD3" w14:textId="77777777" w:rsidR="0046613C" w:rsidRPr="0046613C" w:rsidRDefault="0046613C" w:rsidP="0046613C">
            <w:pPr>
              <w:numPr>
                <w:ilvl w:val="0"/>
                <w:numId w:val="2"/>
              </w:numPr>
              <w:contextualSpacing/>
              <w:rPr>
                <w:rFonts w:ascii="Times New Roman" w:eastAsia="Times New Roman" w:hAnsi="Times New Roman" w:cs="Times New Roman"/>
                <w:b/>
                <w:bCs/>
              </w:rPr>
            </w:pPr>
            <w:r w:rsidRPr="0046613C">
              <w:rPr>
                <w:rFonts w:ascii="Times New Roman" w:hAnsi="Times New Roman" w:cs="Times New Roman"/>
                <w:b/>
                <w:bCs/>
              </w:rPr>
              <w:t>LANGUAGE OF EVENTS</w:t>
            </w:r>
          </w:p>
        </w:tc>
      </w:tr>
      <w:tr w:rsidR="0046613C" w:rsidRPr="0046613C" w14:paraId="5D974C1F" w14:textId="77777777" w:rsidTr="0046613C">
        <w:trPr>
          <w:trHeight w:val="406"/>
        </w:trPr>
        <w:tc>
          <w:tcPr>
            <w:tcW w:w="10065" w:type="dxa"/>
            <w:tcBorders>
              <w:top w:val="single" w:sz="4" w:space="0" w:color="auto"/>
              <w:left w:val="single" w:sz="4" w:space="0" w:color="auto"/>
              <w:bottom w:val="single" w:sz="4" w:space="0" w:color="auto"/>
              <w:right w:val="single" w:sz="4" w:space="0" w:color="auto"/>
            </w:tcBorders>
          </w:tcPr>
          <w:p w14:paraId="7AC083D4"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Language of events is English. </w:t>
            </w:r>
          </w:p>
          <w:p w14:paraId="468E5673"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Service Provider must ensure that, if necessary, both when organizing and conducting the event, representatives of the Contracting Authority or event participants will be able to communicate with persons used by the Service Provider (employees, sub-suppliers or other third parties) in English.</w:t>
            </w:r>
          </w:p>
        </w:tc>
      </w:tr>
      <w:tr w:rsidR="0046613C" w:rsidRPr="0046613C" w14:paraId="6FC17CDC"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10503302"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t>IMPLEMENTATION PROCEDURE AND DEADLINES</w:t>
            </w:r>
          </w:p>
        </w:tc>
      </w:tr>
      <w:tr w:rsidR="0046613C" w:rsidRPr="0046613C" w14:paraId="4F4E43B5"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6CDFF968"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deadlines and procedure for implementation are described in the attached draft of the Framework Agreement (with appendices).</w:t>
            </w:r>
          </w:p>
          <w:p w14:paraId="677003CA" w14:textId="77777777" w:rsidR="0046613C" w:rsidRPr="0046613C" w:rsidRDefault="0046613C" w:rsidP="0046613C">
            <w:pPr>
              <w:autoSpaceDE w:val="0"/>
              <w:autoSpaceDN w:val="0"/>
              <w:jc w:val="both"/>
              <w:rPr>
                <w:rFonts w:ascii="Times New Roman" w:eastAsia="Times New Roman" w:hAnsi="Times New Roman" w:cs="Times New Roman"/>
              </w:rPr>
            </w:pPr>
          </w:p>
        </w:tc>
      </w:tr>
      <w:tr w:rsidR="0046613C" w:rsidRPr="0046613C" w14:paraId="734EA8F2" w14:textId="77777777" w:rsidTr="0046613C">
        <w:tc>
          <w:tcPr>
            <w:tcW w:w="10065" w:type="dxa"/>
            <w:tcBorders>
              <w:top w:val="single" w:sz="4" w:space="0" w:color="auto"/>
              <w:left w:val="single" w:sz="4" w:space="0" w:color="auto"/>
              <w:bottom w:val="single" w:sz="4" w:space="0" w:color="auto"/>
              <w:right w:val="single" w:sz="4" w:space="0" w:color="auto"/>
            </w:tcBorders>
          </w:tcPr>
          <w:p w14:paraId="0888631B" w14:textId="77777777" w:rsidR="0046613C" w:rsidRPr="0046613C" w:rsidRDefault="0046613C" w:rsidP="0046613C">
            <w:pPr>
              <w:numPr>
                <w:ilvl w:val="0"/>
                <w:numId w:val="2"/>
              </w:numPr>
              <w:contextualSpacing/>
              <w:rPr>
                <w:rFonts w:ascii="Times New Roman" w:hAnsi="Times New Roman" w:cs="Times New Roman"/>
                <w:b/>
                <w:bCs/>
              </w:rPr>
            </w:pPr>
            <w:r w:rsidRPr="0046613C">
              <w:rPr>
                <w:rFonts w:ascii="Times New Roman" w:hAnsi="Times New Roman" w:cs="Times New Roman"/>
                <w:b/>
              </w:rPr>
              <w:t xml:space="preserve">ENVIRONMENTAL PROTECTION </w:t>
            </w:r>
            <w:r w:rsidRPr="0046613C">
              <w:rPr>
                <w:rFonts w:ascii="Times New Roman" w:hAnsi="Times New Roman" w:cs="Times New Roman"/>
                <w:b/>
                <w:bCs/>
              </w:rPr>
              <w:t>REQUIREMENTS FOR SERVICES</w:t>
            </w:r>
          </w:p>
        </w:tc>
      </w:tr>
      <w:tr w:rsidR="0046613C" w:rsidRPr="0046613C" w14:paraId="1FEAD15E" w14:textId="77777777" w:rsidTr="0046613C">
        <w:tc>
          <w:tcPr>
            <w:tcW w:w="10065" w:type="dxa"/>
            <w:tcBorders>
              <w:top w:val="single" w:sz="4" w:space="0" w:color="auto"/>
              <w:left w:val="single" w:sz="4" w:space="0" w:color="auto"/>
              <w:bottom w:val="single" w:sz="4" w:space="0" w:color="auto"/>
              <w:right w:val="single" w:sz="4" w:space="0" w:color="auto"/>
            </w:tcBorders>
          </w:tcPr>
          <w:p w14:paraId="2BB43737" w14:textId="77777777" w:rsidR="0046613C" w:rsidRPr="0046613C" w:rsidRDefault="0046613C" w:rsidP="0046613C">
            <w:pPr>
              <w:numPr>
                <w:ilvl w:val="1"/>
                <w:numId w:val="2"/>
              </w:numPr>
              <w:tabs>
                <w:tab w:val="left" w:pos="567"/>
              </w:tabs>
              <w:spacing w:before="60" w:after="60"/>
              <w:contextualSpacing/>
              <w:jc w:val="both"/>
              <w:rPr>
                <w:rFonts w:ascii="Times New Roman" w:hAnsi="Times New Roman" w:cs="Times New Roman"/>
              </w:rPr>
            </w:pPr>
            <w:r w:rsidRPr="0046613C">
              <w:rPr>
                <w:rFonts w:ascii="Times New Roman" w:hAnsi="Times New Roman" w:cs="Times New Roman"/>
              </w:rPr>
              <w:t>The service provider must ensure that the following environmental protection criteria are met at the events:</w:t>
            </w:r>
          </w:p>
          <w:p w14:paraId="3BB6F0A7"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food and beverages must be served using reusable cutlery, glassware and other containers and tablecloths or cutlery, containers and catering equipment made from renewable resources;</w:t>
            </w:r>
          </w:p>
          <w:p w14:paraId="743B0EEE"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generated waste (glass, paper, plastic, metal, etc.) must be sorted and transferred to waste management companies;</w:t>
            </w:r>
          </w:p>
          <w:p w14:paraId="18B8BF9E"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lastRenderedPageBreak/>
              <w:t>The aim is to reduce paper consumption during the provision of services. Materials for events are shared by e-mail. If printing is necessary, the paper must meet the minimum environmental protection criteria specified in the Description of the Procedure for the Application of Environmental Protection Criteria in Green Procurement, approved by Paragraph 1 Appendix No 2 of Order of the Minister of the Environment of the Republic of Lithuania No D1-508 of 28 June 2011 “On the Approval of the Description of the Procedure for the Application of Environmental Protection Criteria in Green Procurement” (see para 7.14). When paying for the services provided, the deeds of transfer and acceptance of services are submitted only in electronic format and signed with an electronic signature.</w:t>
            </w:r>
          </w:p>
          <w:p w14:paraId="029BCD52"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color w:val="000000"/>
              </w:rPr>
              <w:t xml:space="preserve">The paper used at the events is provided by the service provider, and stationery must meet the following minimum environmental protection criteria: </w:t>
            </w:r>
          </w:p>
          <w:p w14:paraId="2E2069C1" w14:textId="77777777" w:rsidR="0046613C" w:rsidRPr="0046613C" w:rsidRDefault="0046613C" w:rsidP="0046613C">
            <w:pPr>
              <w:numPr>
                <w:ilvl w:val="3"/>
                <w:numId w:val="2"/>
              </w:numPr>
              <w:tabs>
                <w:tab w:val="left" w:pos="567"/>
              </w:tabs>
              <w:contextualSpacing/>
              <w:jc w:val="both"/>
              <w:rPr>
                <w:rFonts w:ascii="Times New Roman" w:hAnsi="Times New Roman" w:cs="Times New Roman"/>
                <w:color w:val="000000"/>
              </w:rPr>
            </w:pPr>
            <w:r w:rsidRPr="0046613C">
              <w:rPr>
                <w:rFonts w:ascii="Times New Roman" w:hAnsi="Times New Roman" w:cs="Times New Roman"/>
                <w:color w:val="000000"/>
              </w:rPr>
              <w:t xml:space="preserve">the paper product must be made from 100% recycled paper (used paper and (or) production waste) fibres or at least 30% virgin wood fibres obtained from forests certified using the Forest Stewardship Council (hereinafter referred to as FSC) program or the Program for the Endorsement of Forest Certification Schemes (hereinafter referred to as PEFC) or equivalent forest certification systems, the remaining part must be made from recycled paper fibres; </w:t>
            </w:r>
          </w:p>
          <w:p w14:paraId="2C85D5FA" w14:textId="77777777" w:rsidR="0046613C" w:rsidRPr="0046613C" w:rsidRDefault="0046613C" w:rsidP="0046613C">
            <w:pPr>
              <w:numPr>
                <w:ilvl w:val="3"/>
                <w:numId w:val="2"/>
              </w:numPr>
              <w:tabs>
                <w:tab w:val="left" w:pos="567"/>
              </w:tabs>
              <w:contextualSpacing/>
              <w:jc w:val="both"/>
              <w:rPr>
                <w:rFonts w:ascii="Times New Roman" w:hAnsi="Times New Roman" w:cs="Times New Roman"/>
                <w:color w:val="000000"/>
              </w:rPr>
            </w:pPr>
            <w:r w:rsidRPr="0046613C">
              <w:rPr>
                <w:rFonts w:ascii="Times New Roman" w:hAnsi="Times New Roman" w:cs="Times New Roman"/>
                <w:color w:val="000000"/>
              </w:rPr>
              <w:t>the paper product must be unbleached or bleached without the use of chlorine gas;</w:t>
            </w:r>
          </w:p>
          <w:p w14:paraId="256E9F87" w14:textId="77777777" w:rsidR="0046613C" w:rsidRPr="0046613C" w:rsidRDefault="0046613C" w:rsidP="0046613C">
            <w:pPr>
              <w:numPr>
                <w:ilvl w:val="3"/>
                <w:numId w:val="2"/>
              </w:numPr>
              <w:tabs>
                <w:tab w:val="left" w:pos="567"/>
              </w:tabs>
              <w:contextualSpacing/>
              <w:jc w:val="both"/>
              <w:rPr>
                <w:rFonts w:ascii="Times New Roman" w:hAnsi="Times New Roman" w:cs="Times New Roman"/>
                <w:color w:val="000000"/>
              </w:rPr>
            </w:pPr>
            <w:r w:rsidRPr="0046613C">
              <w:rPr>
                <w:rFonts w:ascii="Times New Roman" w:hAnsi="Times New Roman" w:cs="Times New Roman"/>
                <w:color w:val="000000"/>
              </w:rPr>
              <w:t>Other stationery provided to Event Participants during the Event must be made from natural materials (wood, paper, etc.) or from recycled consumer waste.</w:t>
            </w:r>
          </w:p>
        </w:tc>
      </w:tr>
      <w:tr w:rsidR="0046613C" w:rsidRPr="0046613C" w14:paraId="4849EAD5" w14:textId="77777777" w:rsidTr="0046613C">
        <w:tc>
          <w:tcPr>
            <w:tcW w:w="10065" w:type="dxa"/>
            <w:tcBorders>
              <w:top w:val="single" w:sz="4" w:space="0" w:color="auto"/>
              <w:left w:val="single" w:sz="4" w:space="0" w:color="auto"/>
              <w:bottom w:val="single" w:sz="4" w:space="0" w:color="auto"/>
              <w:right w:val="single" w:sz="4" w:space="0" w:color="auto"/>
            </w:tcBorders>
          </w:tcPr>
          <w:p w14:paraId="0E6EB607" w14:textId="77777777" w:rsidR="0046613C" w:rsidRPr="0046613C" w:rsidRDefault="0046613C" w:rsidP="0046613C">
            <w:pPr>
              <w:numPr>
                <w:ilvl w:val="0"/>
                <w:numId w:val="2"/>
              </w:numPr>
              <w:tabs>
                <w:tab w:val="left" w:pos="567"/>
              </w:tabs>
              <w:spacing w:before="60" w:after="60"/>
              <w:contextualSpacing/>
              <w:jc w:val="both"/>
              <w:rPr>
                <w:rFonts w:ascii="Times New Roman" w:eastAsia="Times New Roman" w:hAnsi="Times New Roman" w:cs="Times New Roman"/>
                <w:b/>
                <w:bCs/>
              </w:rPr>
            </w:pPr>
            <w:r w:rsidRPr="0046613C">
              <w:rPr>
                <w:rFonts w:ascii="Times New Roman" w:hAnsi="Times New Roman" w:cs="Times New Roman"/>
                <w:b/>
                <w:bCs/>
              </w:rPr>
              <w:lastRenderedPageBreak/>
              <w:t>OTHER REQUIREMENTS</w:t>
            </w:r>
          </w:p>
        </w:tc>
      </w:tr>
      <w:tr w:rsidR="0046613C" w:rsidRPr="0046613C" w14:paraId="489E1CFF" w14:textId="77777777" w:rsidTr="0046613C">
        <w:tc>
          <w:tcPr>
            <w:tcW w:w="10065" w:type="dxa"/>
            <w:tcBorders>
              <w:top w:val="single" w:sz="4" w:space="0" w:color="auto"/>
              <w:left w:val="single" w:sz="4" w:space="0" w:color="auto"/>
              <w:bottom w:val="single" w:sz="4" w:space="0" w:color="auto"/>
              <w:right w:val="single" w:sz="4" w:space="0" w:color="auto"/>
            </w:tcBorders>
          </w:tcPr>
          <w:p w14:paraId="56C2C15F"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The Service Provider must be able to manage multiple Events/Orders simultaneously.</w:t>
            </w:r>
          </w:p>
          <w:p w14:paraId="08814B1B"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rPr>
              <w:t xml:space="preserve"> The Service Provider must appoint sufficient amount of people, not including the event organisation manager, to serve event participants at the event venue. The amount of needed personnel is being coordinated and agreed upon with the Contarcting Authority in  advance in a written format.</w:t>
            </w:r>
          </w:p>
          <w:p w14:paraId="632B0C5E" w14:textId="44D7BCC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The representative(-s) of the Service Provider must be present at the event throughout the entire duration of the event, including preparation, unless </w:t>
            </w:r>
            <w:r w:rsidRPr="0046613C">
              <w:rPr>
                <w:rFonts w:ascii="Times New Roman" w:hAnsi="Times New Roman" w:cs="Times New Roman"/>
              </w:rPr>
              <w:t>otherwise specified in advance by the Contracting Authority.</w:t>
            </w:r>
          </w:p>
          <w:p w14:paraId="05866FE2"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rPr>
              <w:t xml:space="preserve"> If necessary, services must be provided without additional charge on non-working days, holidays, and outside of working hours.</w:t>
            </w:r>
          </w:p>
          <w:p w14:paraId="117EDCA3"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The Service Provider must correct any defects that arise due to its fault (the fault of its employees, sub-suppliers or third parties) at its own expense. Service provider must immediately inform about changes beyond the Service Provider's control and, after coordination with the Contracting Authority, immediately take measures to correct/adjust them. A service provided on the initiative of the Service Provider without coordination with the Contracting Authority is not considered the subject matter of the procurement contract and is not paid for.</w:t>
            </w:r>
          </w:p>
          <w:p w14:paraId="4AE32125"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If the Economic Operator from which services for the Event are to be ordered requires a written guarantee of payment for the service(s), the letter of guarantee must be drawn up in the name of the Service Provider.</w:t>
            </w:r>
          </w:p>
          <w:p w14:paraId="067B70AC" w14:textId="77777777" w:rsidR="0046613C" w:rsidRPr="0046613C" w:rsidRDefault="0046613C" w:rsidP="0046613C">
            <w:pPr>
              <w:numPr>
                <w:ilvl w:val="1"/>
                <w:numId w:val="2"/>
              </w:numPr>
              <w:contextualSpacing/>
              <w:jc w:val="both"/>
              <w:rPr>
                <w:rFonts w:ascii="Times New Roman" w:hAnsi="Times New Roman" w:cs="Times New Roman"/>
              </w:rPr>
            </w:pPr>
            <w:r w:rsidRPr="0046613C">
              <w:rPr>
                <w:rFonts w:ascii="Times New Roman" w:hAnsi="Times New Roman" w:cs="Times New Roman"/>
              </w:rPr>
              <w:t xml:space="preserve"> The Service Provider shall establish in contracts and/or agreements concluded with third parties that all copyrights that have arisen in order to provide services to the Contracting Authority shall belong to the Contracting Authority by right of ownership for at least 25 years.</w:t>
            </w:r>
          </w:p>
        </w:tc>
      </w:tr>
    </w:tbl>
    <w:p w14:paraId="46C25D32" w14:textId="77777777" w:rsidR="00A60906" w:rsidRDefault="00A60906" w:rsidP="00A60906">
      <w:pPr>
        <w:rPr>
          <w:rFonts w:ascii="Times New Roman" w:eastAsia="Calibri" w:hAnsi="Times New Roman" w:cs="Times New Roman"/>
          <w:kern w:val="0"/>
          <w:sz w:val="22"/>
          <w:szCs w:val="22"/>
          <w:lang w:eastAsia="lt-LT"/>
          <w14:ligatures w14:val="none"/>
        </w:rPr>
      </w:pPr>
    </w:p>
    <w:p w14:paraId="14765516" w14:textId="61D46767" w:rsidR="00A60906" w:rsidRDefault="00A60906" w:rsidP="00A60906">
      <w:pPr>
        <w:jc w:val="center"/>
      </w:pPr>
      <w:r w:rsidRPr="00A0156A">
        <w:rPr>
          <w:rFonts w:ascii="Times New Roman" w:hAnsi="Times New Roman" w:cs="Times New Roman"/>
          <w:smallCaps/>
        </w:rPr>
        <w:t>___________________</w:t>
      </w:r>
    </w:p>
    <w:p w14:paraId="353C0A54" w14:textId="1AAAED0F" w:rsidR="0046613C" w:rsidRPr="0046613C" w:rsidRDefault="0046613C" w:rsidP="0046613C">
      <w:pPr>
        <w:spacing w:line="240" w:lineRule="auto"/>
        <w:rPr>
          <w:rFonts w:ascii="Times New Roman" w:eastAsia="Calibri" w:hAnsi="Times New Roman" w:cs="Times New Roman"/>
          <w:color w:val="0070C0"/>
          <w:kern w:val="0"/>
          <w:sz w:val="22"/>
          <w:szCs w:val="22"/>
          <w:lang w:eastAsia="lt-LT"/>
          <w14:ligatures w14:val="none"/>
        </w:rPr>
      </w:pPr>
    </w:p>
    <w:p w14:paraId="778A3C4D" w14:textId="77777777" w:rsidR="00E54AA1" w:rsidRPr="0046613C" w:rsidRDefault="00E54AA1" w:rsidP="0046613C">
      <w:pPr>
        <w:spacing w:line="240" w:lineRule="auto"/>
        <w:rPr>
          <w:rFonts w:ascii="Times New Roman" w:hAnsi="Times New Roman" w:cs="Times New Roman"/>
          <w:sz w:val="22"/>
          <w:szCs w:val="22"/>
        </w:rPr>
      </w:pPr>
    </w:p>
    <w:sectPr w:rsidR="00E54AA1" w:rsidRPr="0046613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88629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1362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3C"/>
    <w:rsid w:val="000C67A3"/>
    <w:rsid w:val="0046613C"/>
    <w:rsid w:val="006A7A62"/>
    <w:rsid w:val="00A60906"/>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29D5"/>
  <w15:chartTrackingRefBased/>
  <w15:docId w15:val="{46192DE1-4043-41E3-9B42-3977D800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661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1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1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1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1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1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1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1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1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13C"/>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6613C"/>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6613C"/>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6613C"/>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6613C"/>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6613C"/>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6613C"/>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6613C"/>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6613C"/>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66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13C"/>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661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13C"/>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6613C"/>
    <w:pPr>
      <w:spacing w:before="160"/>
      <w:jc w:val="center"/>
    </w:pPr>
    <w:rPr>
      <w:i/>
      <w:iCs/>
      <w:color w:val="404040" w:themeColor="text1" w:themeTint="BF"/>
    </w:rPr>
  </w:style>
  <w:style w:type="character" w:customStyle="1" w:styleId="QuoteChar">
    <w:name w:val="Quote Char"/>
    <w:basedOn w:val="DefaultParagraphFont"/>
    <w:link w:val="Quote"/>
    <w:uiPriority w:val="29"/>
    <w:rsid w:val="0046613C"/>
    <w:rPr>
      <w:i/>
      <w:iCs/>
      <w:color w:val="404040" w:themeColor="text1" w:themeTint="BF"/>
      <w:lang w:val="en-GB"/>
    </w:rPr>
  </w:style>
  <w:style w:type="paragraph" w:styleId="ListParagraph">
    <w:name w:val="List Paragraph"/>
    <w:basedOn w:val="Normal"/>
    <w:uiPriority w:val="34"/>
    <w:qFormat/>
    <w:rsid w:val="0046613C"/>
    <w:pPr>
      <w:ind w:left="720"/>
      <w:contextualSpacing/>
    </w:pPr>
  </w:style>
  <w:style w:type="character" w:styleId="IntenseEmphasis">
    <w:name w:val="Intense Emphasis"/>
    <w:basedOn w:val="DefaultParagraphFont"/>
    <w:uiPriority w:val="21"/>
    <w:qFormat/>
    <w:rsid w:val="0046613C"/>
    <w:rPr>
      <w:i/>
      <w:iCs/>
      <w:color w:val="0F4761" w:themeColor="accent1" w:themeShade="BF"/>
    </w:rPr>
  </w:style>
  <w:style w:type="paragraph" w:styleId="IntenseQuote">
    <w:name w:val="Intense Quote"/>
    <w:basedOn w:val="Normal"/>
    <w:next w:val="Normal"/>
    <w:link w:val="IntenseQuoteChar"/>
    <w:uiPriority w:val="30"/>
    <w:qFormat/>
    <w:rsid w:val="00466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13C"/>
    <w:rPr>
      <w:i/>
      <w:iCs/>
      <w:color w:val="0F4761" w:themeColor="accent1" w:themeShade="BF"/>
      <w:lang w:val="en-GB"/>
    </w:rPr>
  </w:style>
  <w:style w:type="character" w:styleId="IntenseReference">
    <w:name w:val="Intense Reference"/>
    <w:basedOn w:val="DefaultParagraphFont"/>
    <w:uiPriority w:val="32"/>
    <w:qFormat/>
    <w:rsid w:val="0046613C"/>
    <w:rPr>
      <w:b/>
      <w:bCs/>
      <w:smallCaps/>
      <w:color w:val="0F4761" w:themeColor="accent1" w:themeShade="BF"/>
      <w:spacing w:val="5"/>
    </w:rPr>
  </w:style>
  <w:style w:type="table" w:customStyle="1" w:styleId="Lentelstinklelis1">
    <w:name w:val="Lentelės tinklelis1"/>
    <w:basedOn w:val="TableNormal"/>
    <w:next w:val="TableGrid"/>
    <w:uiPriority w:val="59"/>
    <w:rsid w:val="0046613C"/>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6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5096</Words>
  <Characters>29049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2</cp:revision>
  <dcterms:created xsi:type="dcterms:W3CDTF">2025-02-03T12:00:00Z</dcterms:created>
  <dcterms:modified xsi:type="dcterms:W3CDTF">2025-02-03T12:13:00Z</dcterms:modified>
</cp:coreProperties>
</file>